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6B49BF" w:rsidRDefault="006B49BF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977573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E21406" w:rsidRPr="00E21406" w:rsidRDefault="00E21406" w:rsidP="00E21406"/>
    <w:p w:rsidR="00F97E44" w:rsidRDefault="00084D9D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22.08.</w:t>
      </w:r>
      <w:r w:rsidR="006D5941">
        <w:rPr>
          <w:sz w:val="28"/>
          <w:szCs w:val="28"/>
        </w:rPr>
        <w:t>2013</w:t>
      </w:r>
      <w:r w:rsidR="00395DA1">
        <w:rPr>
          <w:sz w:val="28"/>
          <w:szCs w:val="28"/>
        </w:rPr>
        <w:t>г</w:t>
      </w:r>
      <w:r w:rsidR="00087AF8">
        <w:rPr>
          <w:sz w:val="28"/>
          <w:szCs w:val="28"/>
        </w:rPr>
        <w:t>.</w:t>
      </w:r>
      <w:r w:rsidR="003220EC">
        <w:rPr>
          <w:sz w:val="28"/>
          <w:szCs w:val="28"/>
        </w:rPr>
        <w:t xml:space="preserve">     </w:t>
      </w:r>
      <w:r w:rsidR="003220EC">
        <w:rPr>
          <w:sz w:val="28"/>
          <w:szCs w:val="28"/>
        </w:rPr>
        <w:tab/>
        <w:t xml:space="preserve">      </w:t>
      </w:r>
      <w:r w:rsidR="00434F26" w:rsidRPr="00E216F3">
        <w:rPr>
          <w:sz w:val="28"/>
          <w:szCs w:val="28"/>
        </w:rPr>
        <w:t xml:space="preserve">  </w:t>
      </w:r>
      <w:r w:rsidR="00177D47">
        <w:rPr>
          <w:sz w:val="28"/>
          <w:szCs w:val="28"/>
        </w:rPr>
        <w:t xml:space="preserve">       </w:t>
      </w:r>
      <w:r w:rsidR="00434F26" w:rsidRPr="00E216F3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  <w:t xml:space="preserve">                </w:t>
      </w:r>
      <w:r w:rsidR="00261677">
        <w:rPr>
          <w:sz w:val="28"/>
          <w:szCs w:val="28"/>
        </w:rPr>
        <w:t xml:space="preserve">  </w:t>
      </w:r>
      <w:r w:rsidR="00F97E44" w:rsidRPr="00E216F3">
        <w:rPr>
          <w:sz w:val="28"/>
          <w:szCs w:val="28"/>
        </w:rPr>
        <w:t xml:space="preserve">      </w:t>
      </w:r>
      <w:r w:rsidR="003220EC">
        <w:rPr>
          <w:sz w:val="28"/>
          <w:szCs w:val="28"/>
        </w:rPr>
        <w:t xml:space="preserve">    </w:t>
      </w:r>
      <w:r w:rsidR="00F97E44" w:rsidRPr="00E216F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771</w:t>
      </w:r>
    </w:p>
    <w:p w:rsidR="00ED63C0" w:rsidRDefault="00ED63C0" w:rsidP="00E9637B">
      <w:pPr>
        <w:ind w:firstLine="709"/>
        <w:rPr>
          <w:sz w:val="28"/>
          <w:szCs w:val="28"/>
        </w:rPr>
      </w:pPr>
    </w:p>
    <w:p w:rsidR="00842645" w:rsidRPr="00377162" w:rsidRDefault="00842645" w:rsidP="00842645">
      <w:pPr>
        <w:ind w:left="-426" w:right="4392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377162">
        <w:rPr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377162">
        <w:rPr>
          <w:sz w:val="28"/>
          <w:szCs w:val="28"/>
        </w:rPr>
        <w:t>«</w:t>
      </w:r>
      <w:r w:rsidRPr="002C33B1"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377162">
        <w:rPr>
          <w:sz w:val="28"/>
          <w:szCs w:val="28"/>
        </w:rPr>
        <w:t>»</w:t>
      </w:r>
    </w:p>
    <w:p w:rsidR="00842645" w:rsidRPr="00377162" w:rsidRDefault="00842645" w:rsidP="00842645">
      <w:pPr>
        <w:ind w:firstLine="426"/>
        <w:jc w:val="center"/>
        <w:rPr>
          <w:bCs/>
          <w:sz w:val="28"/>
          <w:szCs w:val="28"/>
        </w:rPr>
      </w:pPr>
    </w:p>
    <w:p w:rsidR="00842645" w:rsidRPr="002C33B1" w:rsidRDefault="00842645" w:rsidP="008426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sz w:val="28"/>
          <w:szCs w:val="28"/>
        </w:rPr>
      </w:pPr>
      <w:r w:rsidRPr="0037716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</w:t>
      </w:r>
      <w:r w:rsidRPr="00401A0A">
        <w:rPr>
          <w:rFonts w:eastAsia="Calibri"/>
          <w:sz w:val="28"/>
          <w:szCs w:val="28"/>
        </w:rPr>
        <w:t>илищны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 xml:space="preserve">; </w:t>
      </w:r>
      <w:r w:rsidRPr="00401A0A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</w:t>
      </w:r>
      <w:r>
        <w:rPr>
          <w:rFonts w:eastAsia="Calibri"/>
          <w:sz w:val="28"/>
          <w:szCs w:val="28"/>
        </w:rPr>
        <w:t xml:space="preserve"> </w:t>
      </w:r>
      <w:r w:rsidRPr="00401A0A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муниципального образования «Аксайское городское поселение»</w:t>
      </w:r>
      <w:r w:rsidRPr="007E540B">
        <w:rPr>
          <w:rFonts w:eastAsia="Calibri"/>
          <w:sz w:val="28"/>
          <w:szCs w:val="28"/>
        </w:rPr>
        <w:t>,</w:t>
      </w:r>
      <w:r w:rsidRPr="00401A0A">
        <w:rPr>
          <w:sz w:val="28"/>
          <w:szCs w:val="28"/>
        </w:rPr>
        <w:t>-</w:t>
      </w:r>
    </w:p>
    <w:p w:rsidR="00842645" w:rsidRPr="00377162" w:rsidRDefault="00842645" w:rsidP="00842645">
      <w:pPr>
        <w:ind w:firstLine="720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</w:t>
      </w:r>
    </w:p>
    <w:p w:rsidR="00842645" w:rsidRPr="00377162" w:rsidRDefault="00842645" w:rsidP="00842645">
      <w:pPr>
        <w:ind w:firstLine="709"/>
        <w:jc w:val="center"/>
        <w:rPr>
          <w:b/>
          <w:bCs/>
          <w:sz w:val="28"/>
          <w:szCs w:val="28"/>
        </w:rPr>
      </w:pPr>
      <w:r w:rsidRPr="00377162">
        <w:rPr>
          <w:b/>
          <w:bCs/>
          <w:sz w:val="28"/>
          <w:szCs w:val="28"/>
        </w:rPr>
        <w:t>ПОСТАНОВЛЯЕТ:</w:t>
      </w:r>
    </w:p>
    <w:p w:rsidR="00842645" w:rsidRPr="00377162" w:rsidRDefault="00842645" w:rsidP="00842645">
      <w:pPr>
        <w:ind w:firstLine="426"/>
        <w:jc w:val="both"/>
        <w:rPr>
          <w:bCs/>
          <w:sz w:val="28"/>
          <w:szCs w:val="28"/>
        </w:rPr>
      </w:pPr>
    </w:p>
    <w:p w:rsidR="00842645" w:rsidRPr="00377162" w:rsidRDefault="00842645" w:rsidP="00842645">
      <w:pPr>
        <w:numPr>
          <w:ilvl w:val="0"/>
          <w:numId w:val="3"/>
        </w:numPr>
        <w:suppressAutoHyphens w:val="0"/>
        <w:ind w:left="-426" w:firstLine="568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 xml:space="preserve">Утвердить </w:t>
      </w:r>
      <w:r w:rsidRPr="00377162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3771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2645" w:rsidRPr="00377162" w:rsidRDefault="00842645" w:rsidP="00842645">
      <w:pPr>
        <w:numPr>
          <w:ilvl w:val="0"/>
          <w:numId w:val="3"/>
        </w:numPr>
        <w:suppressAutoHyphens w:val="0"/>
        <w:ind w:left="-426" w:firstLine="568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842645" w:rsidRPr="00377162" w:rsidRDefault="00842645" w:rsidP="00842645">
      <w:pPr>
        <w:numPr>
          <w:ilvl w:val="0"/>
          <w:numId w:val="3"/>
        </w:numPr>
        <w:suppressAutoHyphens w:val="0"/>
        <w:ind w:left="-426" w:firstLine="568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377162">
        <w:rPr>
          <w:sz w:val="28"/>
          <w:szCs w:val="28"/>
        </w:rPr>
        <w:t>Аксайского</w:t>
      </w:r>
      <w:proofErr w:type="spellEnd"/>
      <w:r w:rsidRPr="00377162">
        <w:rPr>
          <w:sz w:val="28"/>
          <w:szCs w:val="28"/>
        </w:rPr>
        <w:t xml:space="preserve"> городского поселения </w:t>
      </w:r>
      <w:proofErr w:type="spellStart"/>
      <w:r w:rsidRPr="00377162">
        <w:rPr>
          <w:sz w:val="28"/>
          <w:szCs w:val="28"/>
          <w:lang w:val="en-US"/>
        </w:rPr>
        <w:t>aksaycity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aksayland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ru</w:t>
      </w:r>
      <w:proofErr w:type="spellEnd"/>
      <w:r w:rsidRPr="00377162">
        <w:rPr>
          <w:sz w:val="28"/>
          <w:szCs w:val="28"/>
        </w:rPr>
        <w:t xml:space="preserve">. </w:t>
      </w:r>
    </w:p>
    <w:p w:rsidR="00842645" w:rsidRPr="00377162" w:rsidRDefault="00842645" w:rsidP="00842645">
      <w:pPr>
        <w:numPr>
          <w:ilvl w:val="0"/>
          <w:numId w:val="3"/>
        </w:numPr>
        <w:suppressAutoHyphens w:val="0"/>
        <w:ind w:left="-426" w:firstLine="568"/>
        <w:jc w:val="both"/>
        <w:rPr>
          <w:sz w:val="28"/>
          <w:szCs w:val="28"/>
        </w:rPr>
      </w:pPr>
      <w:r w:rsidRPr="00377162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377162">
        <w:rPr>
          <w:sz w:val="28"/>
          <w:szCs w:val="28"/>
        </w:rPr>
        <w:t xml:space="preserve">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6B49BF" w:rsidRDefault="006B49BF" w:rsidP="009B3190">
      <w:pPr>
        <w:jc w:val="both"/>
        <w:rPr>
          <w:b/>
          <w:sz w:val="28"/>
          <w:szCs w:val="27"/>
        </w:rPr>
      </w:pPr>
    </w:p>
    <w:p w:rsidR="00842645" w:rsidRDefault="00842645" w:rsidP="009B3190">
      <w:pPr>
        <w:jc w:val="both"/>
        <w:rPr>
          <w:b/>
          <w:sz w:val="28"/>
          <w:szCs w:val="27"/>
        </w:rPr>
      </w:pPr>
    </w:p>
    <w:p w:rsidR="00F97E44" w:rsidRPr="00681FE0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городского поселения</w:t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="00061530" w:rsidRPr="00681FE0">
        <w:rPr>
          <w:b/>
          <w:sz w:val="28"/>
          <w:szCs w:val="27"/>
        </w:rPr>
        <w:t xml:space="preserve"> </w:t>
      </w:r>
      <w:r w:rsidR="00D3328B" w:rsidRPr="00681FE0">
        <w:rPr>
          <w:b/>
          <w:sz w:val="28"/>
          <w:szCs w:val="27"/>
        </w:rPr>
        <w:tab/>
      </w:r>
      <w:r w:rsidR="00235957" w:rsidRPr="00681FE0">
        <w:rPr>
          <w:b/>
          <w:sz w:val="28"/>
          <w:szCs w:val="27"/>
        </w:rPr>
        <w:tab/>
        <w:t xml:space="preserve">        </w:t>
      </w:r>
      <w:r w:rsidR="009B3190" w:rsidRPr="00681FE0">
        <w:rPr>
          <w:b/>
          <w:sz w:val="28"/>
          <w:szCs w:val="27"/>
        </w:rPr>
        <w:t xml:space="preserve">             </w:t>
      </w:r>
      <w:r w:rsidR="00235957" w:rsidRPr="00681FE0">
        <w:rPr>
          <w:b/>
          <w:sz w:val="28"/>
          <w:szCs w:val="27"/>
        </w:rPr>
        <w:t xml:space="preserve">   </w:t>
      </w:r>
      <w:r w:rsidRPr="00681FE0">
        <w:rPr>
          <w:b/>
          <w:sz w:val="28"/>
          <w:szCs w:val="27"/>
        </w:rPr>
        <w:t xml:space="preserve">  А.В. Головин</w:t>
      </w:r>
    </w:p>
    <w:p w:rsidR="0062091E" w:rsidRDefault="0062091E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62091E" w:rsidTr="00A05DA5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</w:tr>
      <w:tr w:rsidR="0062091E" w:rsidTr="00A05DA5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jc w:val="both"/>
            </w:pPr>
            <w:r>
              <w:t xml:space="preserve">к постановлению </w:t>
            </w:r>
          </w:p>
          <w:p w:rsidR="0062091E" w:rsidRDefault="0062091E" w:rsidP="00A05DA5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62091E" w:rsidTr="00A05DA5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</w:tr>
    </w:tbl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62091E" w:rsidRPr="00676951" w:rsidRDefault="0062091E" w:rsidP="0062091E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62091E" w:rsidRPr="00676951" w:rsidRDefault="0062091E" w:rsidP="0062091E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</w:p>
    <w:p w:rsidR="0062091E" w:rsidRPr="00CC0125" w:rsidRDefault="0062091E" w:rsidP="0062091E">
      <w:pPr>
        <w:ind w:firstLine="595"/>
        <w:jc w:val="center"/>
        <w:rPr>
          <w:szCs w:val="28"/>
        </w:rPr>
      </w:pPr>
    </w:p>
    <w:p w:rsidR="0062091E" w:rsidRPr="00676951" w:rsidRDefault="0062091E" w:rsidP="0062091E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62091E" w:rsidRPr="00CC0125" w:rsidRDefault="0062091E" w:rsidP="0062091E">
      <w:pPr>
        <w:ind w:firstLine="595"/>
        <w:jc w:val="center"/>
        <w:rPr>
          <w:szCs w:val="28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</w:t>
      </w:r>
      <w:proofErr w:type="gramStart"/>
      <w:r w:rsidRPr="00676951">
        <w:rPr>
          <w:sz w:val="28"/>
          <w:szCs w:val="28"/>
        </w:rPr>
        <w:t xml:space="preserve">   (</w:t>
      </w:r>
      <w:proofErr w:type="gramEnd"/>
      <w:r w:rsidRPr="00676951">
        <w:rPr>
          <w:sz w:val="28"/>
          <w:szCs w:val="28"/>
        </w:rPr>
        <w:t>далее - Администрация ).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62091E" w:rsidRPr="00CC0125" w:rsidRDefault="0062091E" w:rsidP="0062091E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</w:t>
      </w:r>
      <w:r w:rsidRPr="00401A0A">
        <w:rPr>
          <w:rFonts w:eastAsia="Calibri"/>
          <w:sz w:val="28"/>
          <w:szCs w:val="28"/>
        </w:rPr>
        <w:t>илищны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>;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1A0A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401A0A">
        <w:rPr>
          <w:rFonts w:eastAsia="Calibri"/>
          <w:sz w:val="28"/>
          <w:szCs w:val="28"/>
        </w:rPr>
        <w:t>Аксайского</w:t>
      </w:r>
      <w:proofErr w:type="spellEnd"/>
      <w:r w:rsidRPr="00401A0A">
        <w:rPr>
          <w:rFonts w:eastAsia="Calibri"/>
          <w:sz w:val="28"/>
          <w:szCs w:val="28"/>
        </w:rPr>
        <w:t xml:space="preserve">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</w:t>
      </w:r>
      <w:proofErr w:type="spellStart"/>
      <w:r w:rsidRPr="00401A0A">
        <w:rPr>
          <w:rFonts w:eastAsia="Calibri"/>
          <w:sz w:val="28"/>
          <w:szCs w:val="28"/>
        </w:rPr>
        <w:t>Аксайского</w:t>
      </w:r>
      <w:proofErr w:type="spellEnd"/>
      <w:r w:rsidRPr="00401A0A">
        <w:rPr>
          <w:rFonts w:eastAsia="Calibri"/>
          <w:sz w:val="28"/>
          <w:szCs w:val="28"/>
        </w:rPr>
        <w:t xml:space="preserve"> городского поселения»;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1A0A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401A0A">
        <w:rPr>
          <w:rFonts w:eastAsia="Calibri"/>
          <w:sz w:val="28"/>
          <w:szCs w:val="28"/>
        </w:rPr>
        <w:t>Аксайское</w:t>
      </w:r>
      <w:proofErr w:type="spellEnd"/>
      <w:r w:rsidRPr="00401A0A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rFonts w:eastAsia="Calibri"/>
          <w:sz w:val="28"/>
          <w:szCs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62091E" w:rsidRPr="00676951" w:rsidRDefault="0062091E" w:rsidP="0062091E">
      <w:pPr>
        <w:spacing w:line="276" w:lineRule="auto"/>
        <w:ind w:left="-426" w:firstLine="426"/>
        <w:rPr>
          <w:sz w:val="22"/>
          <w:szCs w:val="22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62091E" w:rsidRPr="00960608" w:rsidRDefault="0062091E" w:rsidP="0062091E">
      <w:pPr>
        <w:spacing w:line="276" w:lineRule="auto"/>
        <w:ind w:left="-426" w:firstLine="426"/>
        <w:jc w:val="both"/>
        <w:rPr>
          <w:sz w:val="32"/>
          <w:szCs w:val="28"/>
        </w:rPr>
      </w:pPr>
      <w:r>
        <w:rPr>
          <w:rFonts w:eastAsia="Calibri"/>
          <w:sz w:val="28"/>
          <w:szCs w:val="28"/>
        </w:rPr>
        <w:t>Постановление о выдачи решения о переводе жилого помещения в нежилое и нежилого помещения в жилое</w:t>
      </w:r>
      <w:r w:rsidRPr="00960608">
        <w:rPr>
          <w:sz w:val="32"/>
          <w:szCs w:val="28"/>
        </w:rPr>
        <w:t>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rPr>
          <w:sz w:val="22"/>
          <w:szCs w:val="22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62091E" w:rsidRPr="00676951" w:rsidRDefault="0062091E" w:rsidP="0062091E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62091E" w:rsidRDefault="0062091E" w:rsidP="0062091E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62091E" w:rsidRPr="00676951" w:rsidRDefault="0062091E" w:rsidP="00620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091E" w:rsidRPr="00CC0125" w:rsidRDefault="0062091E" w:rsidP="0062091E">
      <w:pPr>
        <w:snapToGrid w:val="0"/>
        <w:ind w:firstLine="595"/>
        <w:jc w:val="center"/>
        <w:rPr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>ля, имеющего намерение получить р</w:t>
      </w:r>
      <w:r w:rsidRPr="00960608">
        <w:rPr>
          <w:rFonts w:eastAsia="Calibri"/>
          <w:sz w:val="28"/>
          <w:szCs w:val="28"/>
        </w:rPr>
        <w:t>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62091E" w:rsidRPr="00676951" w:rsidRDefault="0062091E" w:rsidP="0062091E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 xml:space="preserve">документов о согласовании </w:t>
      </w:r>
      <w:r>
        <w:rPr>
          <w:rFonts w:eastAsia="Calibri"/>
          <w:sz w:val="28"/>
          <w:szCs w:val="28"/>
        </w:rPr>
        <w:t>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постановление</w:t>
      </w:r>
      <w:r w:rsidRPr="0096060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утверждает </w:t>
      </w:r>
      <w:r>
        <w:rPr>
          <w:sz w:val="28"/>
          <w:szCs w:val="28"/>
        </w:rPr>
        <w:t xml:space="preserve">решение о согласовании </w:t>
      </w:r>
      <w:r>
        <w:rPr>
          <w:rFonts w:eastAsia="Calibri"/>
          <w:sz w:val="28"/>
          <w:szCs w:val="28"/>
        </w:rPr>
        <w:t>перевода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sz w:val="28"/>
          <w:szCs w:val="28"/>
        </w:rPr>
        <w:t xml:space="preserve">постановление </w:t>
      </w:r>
      <w:r>
        <w:rPr>
          <w:sz w:val="28"/>
        </w:rPr>
        <w:t>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62091E" w:rsidRPr="00CC0125" w:rsidRDefault="0062091E" w:rsidP="0062091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62091E" w:rsidRPr="00676951" w:rsidRDefault="0062091E" w:rsidP="0062091E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62091E" w:rsidRPr="00CC0125" w:rsidRDefault="0062091E" w:rsidP="0062091E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62091E" w:rsidRDefault="0062091E" w:rsidP="0062091E">
      <w:pPr>
        <w:rPr>
          <w:sz w:val="20"/>
          <w:szCs w:val="22"/>
        </w:rPr>
      </w:pPr>
    </w:p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62091E" w:rsidRPr="00676951" w:rsidRDefault="0062091E" w:rsidP="006209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2091E" w:rsidRPr="00676951" w:rsidRDefault="0062091E" w:rsidP="006209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62091E" w:rsidRPr="00676951" w:rsidRDefault="0062091E" w:rsidP="0062091E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62091E" w:rsidRDefault="0062091E" w:rsidP="0062091E">
      <w:pPr>
        <w:jc w:val="center"/>
        <w:rPr>
          <w:szCs w:val="28"/>
        </w:rPr>
      </w:pP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091E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Pr="00676951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Default="0062091E" w:rsidP="0062091E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62091E" w:rsidRPr="00676951" w:rsidRDefault="0062091E" w:rsidP="0062091E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szCs w:val="28"/>
        </w:rPr>
        <w:t>»</w:t>
      </w:r>
    </w:p>
    <w:p w:rsidR="0062091E" w:rsidRPr="00CC0125" w:rsidRDefault="0062091E" w:rsidP="0062091E">
      <w:pPr>
        <w:ind w:firstLine="595"/>
        <w:jc w:val="right"/>
        <w:rPr>
          <w:szCs w:val="28"/>
        </w:rPr>
      </w:pPr>
    </w:p>
    <w:p w:rsidR="0062091E" w:rsidRPr="00CC0125" w:rsidRDefault="0062091E" w:rsidP="0062091E">
      <w:pPr>
        <w:ind w:firstLine="595"/>
        <w:jc w:val="right"/>
        <w:rPr>
          <w:szCs w:val="28"/>
        </w:rPr>
      </w:pPr>
    </w:p>
    <w:p w:rsidR="0062091E" w:rsidRDefault="0062091E" w:rsidP="0062091E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rFonts w:eastAsia="Calibri"/>
          <w:szCs w:val="28"/>
          <w:lang w:eastAsia="en-US"/>
        </w:rPr>
        <w:t>»</w:t>
      </w:r>
    </w:p>
    <w:p w:rsidR="0062091E" w:rsidRPr="00CC0125" w:rsidRDefault="0062091E" w:rsidP="0062091E">
      <w:pPr>
        <w:ind w:firstLine="595"/>
        <w:jc w:val="center"/>
        <w:rPr>
          <w:rFonts w:eastAsia="Calibri"/>
          <w:szCs w:val="28"/>
          <w:lang w:eastAsia="en-US"/>
        </w:rPr>
      </w:pPr>
    </w:p>
    <w:p w:rsidR="0062091E" w:rsidRDefault="0062091E" w:rsidP="0062091E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</w:t>
      </w:r>
      <w:proofErr w:type="gramStart"/>
      <w:r>
        <w:rPr>
          <w:szCs w:val="28"/>
        </w:rPr>
        <w:t xml:space="preserve">решения  </w:t>
      </w:r>
      <w:r w:rsidRPr="00C1148D">
        <w:t>о</w:t>
      </w:r>
      <w:proofErr w:type="gramEnd"/>
      <w:r w:rsidRPr="00C1148D">
        <w:t xml:space="preserve"> переводе жилого помещения в нежилое и нежилого помещения в жилое</w:t>
      </w:r>
      <w:r>
        <w:rPr>
          <w:szCs w:val="28"/>
        </w:rPr>
        <w:t xml:space="preserve"> прилагаются: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оэтажный план дома, в котором находится переводимое помещение;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szCs w:val="28"/>
        </w:rPr>
        <w:t>»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  <w:b/>
          <w:bCs/>
          <w:color w:val="000080"/>
        </w:rPr>
        <w:t xml:space="preserve">                               ЗАКЛЮЧЕНИЕ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</w:t>
      </w:r>
      <w:r w:rsidRPr="00A26706">
        <w:rPr>
          <w:rFonts w:ascii="Courier New" w:hAnsi="Courier New" w:cs="Courier New"/>
          <w:b/>
          <w:bCs/>
          <w:color w:val="000080"/>
        </w:rPr>
        <w:t>о признании жилого помещения пригодным (непригодным)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</w:t>
      </w:r>
      <w:r w:rsidRPr="00A26706">
        <w:rPr>
          <w:rFonts w:ascii="Courier New" w:hAnsi="Courier New" w:cs="Courier New"/>
          <w:b/>
          <w:bCs/>
          <w:color w:val="000080"/>
        </w:rPr>
        <w:t>для постоянного проживания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N 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                            (дата)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(месторасположение помещения, в том числе наименования населенного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пункта и улицы, номера дома и квартиры)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     Межведомственная          комиссия,          назначенная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_______________________________________________________________________,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(кем назначена, наименование федерального органа исполнительной власти,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органа исполнительной власти субъекта Российской Федерации, органа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местного самоуправления, дата, номер решения о созыве комиссии)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в составе председателя 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и членов комиссии 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 участии приглашенных экспертов 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и приглашенного собственника помещения или  уполномоченного  им   лица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по результатам рассмотренных документов 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(приводится перечень документов)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</w:t>
      </w:r>
      <w:proofErr w:type="gramStart"/>
      <w:r w:rsidRPr="00A26706">
        <w:rPr>
          <w:rFonts w:ascii="Courier New" w:hAnsi="Courier New" w:cs="Courier New"/>
        </w:rPr>
        <w:t>и  на</w:t>
      </w:r>
      <w:proofErr w:type="gramEnd"/>
      <w:r w:rsidRPr="00A26706">
        <w:rPr>
          <w:rFonts w:ascii="Courier New" w:hAnsi="Courier New" w:cs="Courier New"/>
        </w:rPr>
        <w:t xml:space="preserve">  основании  акта  межведомственной  комиссии,    составленного по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результатам обследования, 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(приводится заключение, взятое из акта обследования (в случае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проведения обследования), или указывается, что на основании решения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межведомственной комиссии обследование не проводилось)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приняла заключение о 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(приводится обоснование принятого межведомственной комиссией заключения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об оценке соответствия помещения требованиям, предъявляемым к жилому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помещению, и о его пригодности (непригодности) для постоянного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        проживания)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Приложение к заключению: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а) перечень рассмотренных документов;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б) акт обследования помещения (в случае проведения обследования);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в) перечень других материалов, запрошенных межведомственной комиссией;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г) особое мнение членов межведомственной комиссии: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______________________________________________________________________.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Председатель межведомственной комиссии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(подпись)                           (ф.и.о.)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Члены межведомственной комиссии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(подпись)                           (ф.и.о.)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(подпись)                           (ф.и.о.)</w:t>
      </w:r>
    </w:p>
    <w:p w:rsidR="0062091E" w:rsidRDefault="0062091E" w:rsidP="0062091E">
      <w:pPr>
        <w:pStyle w:val="ConsPlusNonformat"/>
        <w:widowControl/>
        <w:jc w:val="both"/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9B3190">
      <w:pPr>
        <w:jc w:val="both"/>
        <w:rPr>
          <w:b/>
          <w:sz w:val="28"/>
          <w:szCs w:val="27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62091E" w:rsidRPr="00CC0125" w:rsidRDefault="0062091E" w:rsidP="0062091E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62091E" w:rsidRPr="00C92CF4" w:rsidRDefault="0062091E" w:rsidP="0062091E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62091E" w:rsidRDefault="00977573" w:rsidP="0062091E">
      <w:pPr>
        <w:spacing w:before="90" w:after="90"/>
        <w:jc w:val="center"/>
        <w:outlineLvl w:val="1"/>
        <w:rPr>
          <w:sz w:val="22"/>
          <w:szCs w:val="22"/>
        </w:rPr>
      </w:pPr>
      <w:r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85pt;margin-top:36pt;width:123pt;height:31.15pt;z-index:251661312">
            <v:textbox>
              <w:txbxContent>
                <w:p w:rsidR="0062091E" w:rsidRPr="00A53D2F" w:rsidRDefault="0062091E" w:rsidP="0062091E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62091E">
        <w:rPr>
          <w:sz w:val="22"/>
          <w:szCs w:val="22"/>
        </w:rPr>
        <w:t xml:space="preserve">Выдача решения </w:t>
      </w:r>
      <w:r w:rsidR="0062091E" w:rsidRPr="00A26061">
        <w:rPr>
          <w:rFonts w:eastAsia="Calibri"/>
          <w:szCs w:val="28"/>
        </w:rPr>
        <w:t xml:space="preserve">о </w:t>
      </w:r>
      <w:r w:rsidR="0062091E">
        <w:rPr>
          <w:rFonts w:eastAsia="Calibri"/>
          <w:szCs w:val="28"/>
        </w:rPr>
        <w:t>выдачи</w:t>
      </w:r>
      <w:r w:rsidR="0062091E" w:rsidRPr="00A26061">
        <w:rPr>
          <w:rFonts w:eastAsia="Calibri"/>
          <w:szCs w:val="28"/>
        </w:rPr>
        <w:t xml:space="preserve"> документов о согласовании переустройства и (или) перепланировки жилого помещения</w:t>
      </w:r>
    </w:p>
    <w:p w:rsidR="0062091E" w:rsidRPr="00C92CF4" w:rsidRDefault="0062091E" w:rsidP="0062091E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62091E" w:rsidRPr="00C36831" w:rsidRDefault="00977573" w:rsidP="0062091E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60.5pt;margin-top:350.4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47.2pt;z-index:251685888">
            <v:textbox style="mso-next-textbox:#_x0000_s1053">
              <w:txbxContent>
                <w:p w:rsidR="0062091E" w:rsidRPr="00D852D8" w:rsidRDefault="0062091E" w:rsidP="0062091E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Уведомление о переводе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8" type="#_x0000_t32" style="position:absolute;left:0;text-align:left;margin-left:60.45pt;margin-top:497.8pt;width:.05pt;height:17.85pt;z-index:2517012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7" style="position:absolute;left:0;text-align:left;margin-left:-45.4pt;margin-top:447.9pt;width:223.5pt;height:51.05pt;z-index:251700224">
            <v:textbox style="mso-next-textbox:#_x0000_s1067">
              <w:txbxContent>
                <w:p w:rsidR="0062091E" w:rsidRDefault="0062091E" w:rsidP="0062091E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>
                    <w:rPr>
                      <w:szCs w:val="28"/>
                    </w:rPr>
                    <w:t>постановления</w:t>
                  </w:r>
                  <w:r w:rsidRPr="00C1148D">
                    <w:t xml:space="preserve"> о переводе жилого помещения в нежилое и нежилого помещения в жилое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60.45pt;margin-top:430.05pt;width:0;height:17.85pt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97.5pt;z-index:251678720">
            <v:textbox style="mso-next-textbox:#_x0000_s1046"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85pt;margin-top:322.7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40.15pt;width:198.15pt;height:107.75pt;z-index:251679744">
            <v:textbox style="mso-next-textbox:#_x0000_s1047"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47.9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65.3pt;width:198.15pt;height:78.45pt;z-index:251681792">
            <v:textbox style="mso-next-textbox:#_x0000_s1049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1.05pt;z-index:251687936">
            <v:textbox style="mso-next-textbox:#_x0000_s1055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Выдача акта приемочной комиссии переустроенных и перепланированных помещений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62091E" w:rsidRPr="00452EFC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62091E" w:rsidRPr="00452EFC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62091E" w:rsidRDefault="0062091E" w:rsidP="009B3190">
      <w:pPr>
        <w:jc w:val="both"/>
        <w:rPr>
          <w:b/>
          <w:sz w:val="28"/>
          <w:szCs w:val="27"/>
        </w:rPr>
      </w:pPr>
    </w:p>
    <w:p w:rsidR="0062091E" w:rsidRPr="00681FE0" w:rsidRDefault="0062091E" w:rsidP="009B3190">
      <w:pPr>
        <w:jc w:val="both"/>
        <w:rPr>
          <w:b/>
          <w:sz w:val="28"/>
          <w:szCs w:val="27"/>
        </w:rPr>
      </w:pPr>
    </w:p>
    <w:sectPr w:rsidR="0062091E" w:rsidRPr="00681FE0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4D9D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2091E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77573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548E5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4" type="connector" idref="#_x0000_s1052"/>
        <o:r id="V:Rule25" type="connector" idref="#_x0000_s1065"/>
        <o:r id="V:Rule26" type="connector" idref="#_x0000_s1050"/>
        <o:r id="V:Rule27" type="connector" idref="#_x0000_s1034"/>
        <o:r id="V:Rule28" type="connector" idref="#_x0000_s1040"/>
        <o:r id="V:Rule29" type="connector" idref="#_x0000_s1043"/>
        <o:r id="V:Rule30" type="connector" idref="#_x0000_s1038"/>
        <o:r id="V:Rule31" type="connector" idref="#_x0000_s1030"/>
        <o:r id="V:Rule32" type="connector" idref="#_x0000_s1032"/>
        <o:r id="V:Rule33" type="connector" idref="#_x0000_s1057"/>
        <o:r id="V:Rule34" type="connector" idref="#_x0000_s1048"/>
        <o:r id="V:Rule35" type="connector" idref="#_x0000_s1066"/>
        <o:r id="V:Rule36" type="connector" idref="#_x0000_s1041"/>
        <o:r id="V:Rule37" type="connector" idref="#_x0000_s1063"/>
        <o:r id="V:Rule38" type="connector" idref="#_x0000_s1064"/>
        <o:r id="V:Rule39" type="connector" idref="#_x0000_s1033"/>
        <o:r id="V:Rule40" type="connector" idref="#_x0000_s1056"/>
        <o:r id="V:Rule41" type="connector" idref="#_x0000_s1035"/>
        <o:r id="V:Rule42" type="connector" idref="#_x0000_s1054"/>
        <o:r id="V:Rule43" type="connector" idref="#_x0000_s1060"/>
        <o:r id="V:Rule44" type="connector" idref="#_x0000_s1045"/>
        <o:r id="V:Rule45" type="connector" idref="#_x0000_s1068"/>
        <o:r id="V:Rule46" type="connector" idref="#_x0000_s1061"/>
      </o:rules>
    </o:shapelayout>
  </w:shapeDefaults>
  <w:doNotEmbedSmartTags/>
  <w:decimalSymbol w:val=","/>
  <w:listSeparator w:val=";"/>
  <w15:docId w15:val="{D038B3AE-1451-4F6D-B27C-5BAF4FCD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62091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2091E"/>
    <w:rPr>
      <w:sz w:val="28"/>
    </w:rPr>
  </w:style>
  <w:style w:type="paragraph" w:customStyle="1" w:styleId="ConsPlusNormal">
    <w:name w:val="ConsPlusNormal"/>
    <w:rsid w:val="006209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9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2014-03-14T06:27:00Z</dcterms:created>
  <dcterms:modified xsi:type="dcterms:W3CDTF">2014-03-18T10:08:00Z</dcterms:modified>
</cp:coreProperties>
</file>